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4098290</wp:posOffset>
            </wp:positionV>
            <wp:extent cx="3492500" cy="38100"/>
            <wp:effectExtent l="0" t="0" r="1270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4505325</wp:posOffset>
            </wp:positionV>
            <wp:extent cx="3492500" cy="38100"/>
            <wp:effectExtent l="0" t="0" r="1270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3269615</wp:posOffset>
            </wp:positionH>
            <wp:positionV relativeFrom="page">
              <wp:posOffset>4911090</wp:posOffset>
            </wp:positionV>
            <wp:extent cx="2779395" cy="38100"/>
            <wp:effectExtent l="0" t="0" r="190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6130290</wp:posOffset>
            </wp:positionV>
            <wp:extent cx="3492500" cy="38100"/>
            <wp:effectExtent l="0" t="0" r="12700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6536690</wp:posOffset>
            </wp:positionV>
            <wp:extent cx="3492500" cy="38100"/>
            <wp:effectExtent l="0" t="0" r="1270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6943725</wp:posOffset>
            </wp:positionV>
            <wp:extent cx="3492500" cy="38100"/>
            <wp:effectExtent l="0" t="0" r="1270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7349490</wp:posOffset>
            </wp:positionV>
            <wp:extent cx="3492500" cy="38100"/>
            <wp:effectExtent l="0" t="0" r="1270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7755890</wp:posOffset>
            </wp:positionV>
            <wp:extent cx="3492500" cy="38100"/>
            <wp:effectExtent l="0" t="0" r="12700" b="0"/>
            <wp:wrapNone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BSRAF+FZHei-B01" w:hAnsi="WBSRAF+FZHei-B01" w:cs="WBSRAF+FZHei-B01"/>
          <w:color w:val="000000"/>
          <w:spacing w:val="-1"/>
          <w:sz w:val="32"/>
        </w:rPr>
        <w:t>附件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EOPHKN+FZHei-B01"/>
          <w:color w:val="000000"/>
          <w:spacing w:val="0"/>
          <w:sz w:val="32"/>
        </w:rPr>
        <w:t>1</w:t>
      </w:r>
    </w:p>
    <w:p>
      <w:pPr>
        <w:spacing w:before="1443" w:after="0" w:line="524" w:lineRule="exact"/>
        <w:ind w:left="192" w:right="0" w:firstLine="0"/>
        <w:jc w:val="left"/>
        <w:rPr>
          <w:rFonts w:ascii="Times New Roman"/>
          <w:b/>
          <w:bCs/>
          <w:color w:val="000000"/>
          <w:spacing w:val="0"/>
          <w:sz w:val="44"/>
        </w:rPr>
      </w:pPr>
      <w:r>
        <w:rPr>
          <w:rFonts w:ascii="方正小标宋简体" w:hAnsi="方正小标宋简体" w:cs="方正小标宋简体"/>
          <w:b/>
          <w:bCs/>
          <w:color w:val="000000"/>
          <w:spacing w:val="0"/>
          <w:sz w:val="44"/>
        </w:rPr>
        <w:t>内蒙古自治区高等学校医药基础研究创新</w:t>
      </w:r>
    </w:p>
    <w:p>
      <w:pPr>
        <w:spacing w:before="114" w:after="0" w:line="524" w:lineRule="exact"/>
        <w:ind w:left="2832" w:right="0" w:firstLine="0"/>
        <w:jc w:val="left"/>
        <w:rPr>
          <w:rFonts w:ascii="Times New Roman"/>
          <w:b/>
          <w:bCs/>
          <w:color w:val="000000"/>
          <w:spacing w:val="0"/>
          <w:sz w:val="44"/>
        </w:rPr>
      </w:pPr>
      <w:r>
        <w:rPr>
          <w:rFonts w:ascii="方正小标宋简体" w:hAnsi="方正小标宋简体" w:cs="方正小标宋简体"/>
          <w:b/>
          <w:bCs/>
          <w:color w:val="000000"/>
          <w:spacing w:val="0"/>
          <w:sz w:val="44"/>
        </w:rPr>
        <w:t>中心建设方案</w:t>
      </w:r>
    </w:p>
    <w:p>
      <w:pPr>
        <w:spacing w:before="1503" w:after="0" w:line="361" w:lineRule="exact"/>
        <w:ind w:left="641" w:right="0" w:firstLine="0"/>
        <w:jc w:val="left"/>
        <w:rPr>
          <w:rFonts w:hint="eastAsia" w:ascii="Times New Roman" w:eastAsiaTheme="minorEastAsia"/>
          <w:color w:val="000000"/>
          <w:spacing w:val="0"/>
          <w:sz w:val="32"/>
          <w:lang w:val="en-US" w:eastAsia="zh-CN"/>
        </w:rPr>
      </w:pPr>
      <w:r>
        <w:rPr>
          <w:rFonts w:ascii="HLJCQC+FZFangSong-Z02" w:hAnsi="HLJCQC+FZFangSong-Z02" w:cs="HLJCQC+FZFangSong-Z02"/>
          <w:b/>
          <w:bCs/>
          <w:color w:val="000000"/>
          <w:spacing w:val="1"/>
          <w:sz w:val="32"/>
        </w:rPr>
        <w:t>中心名称</w:t>
      </w:r>
      <w:r>
        <w:rPr>
          <w:rFonts w:ascii="HLJCQC+FZFangSong-Z02" w:hAnsi="HLJCQC+FZFangSong-Z02" w:cs="HLJCQC+FZFangSong-Z02"/>
          <w:color w:val="000000"/>
          <w:spacing w:val="1"/>
          <w:sz w:val="32"/>
        </w:rPr>
        <w:t>：</w:t>
      </w:r>
    </w:p>
    <w:p>
      <w:pPr>
        <w:spacing w:before="279" w:after="0" w:line="361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b/>
          <w:bCs/>
          <w:color w:val="000000"/>
          <w:spacing w:val="1"/>
          <w:sz w:val="32"/>
        </w:rPr>
        <w:t>中心主任</w:t>
      </w:r>
      <w:r>
        <w:rPr>
          <w:rFonts w:ascii="HLJCQC+FZFangSong-Z02" w:hAnsi="HLJCQC+FZFangSong-Z02" w:cs="HLJCQC+FZFangSong-Z02"/>
          <w:color w:val="000000"/>
          <w:spacing w:val="1"/>
          <w:sz w:val="32"/>
        </w:rPr>
        <w:t>：</w:t>
      </w:r>
    </w:p>
    <w:p>
      <w:pPr>
        <w:spacing w:before="279" w:after="0" w:line="361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b/>
          <w:bCs/>
          <w:color w:val="000000"/>
          <w:spacing w:val="1"/>
          <w:sz w:val="32"/>
        </w:rPr>
        <w:t>依托单位（盖章）</w:t>
      </w:r>
      <w:r>
        <w:rPr>
          <w:rFonts w:ascii="HLJCQC+FZFangSong-Z02" w:hAnsi="HLJCQC+FZFangSong-Z02" w:cs="HLJCQC+FZFangSong-Z02"/>
          <w:color w:val="000000"/>
          <w:spacing w:val="-17"/>
          <w:sz w:val="32"/>
        </w:rPr>
        <w:t>：</w:t>
      </w:r>
    </w:p>
    <w:p>
      <w:pPr>
        <w:spacing w:before="1559" w:after="0" w:line="361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b/>
          <w:bCs/>
          <w:color w:val="000000"/>
          <w:spacing w:val="1"/>
          <w:sz w:val="32"/>
        </w:rPr>
        <w:t>通讯地址</w:t>
      </w:r>
      <w:r>
        <w:rPr>
          <w:rFonts w:ascii="HLJCQC+FZFangSong-Z02" w:hAnsi="HLJCQC+FZFangSong-Z02" w:cs="HLJCQC+FZFangSong-Z02"/>
          <w:color w:val="000000"/>
          <w:spacing w:val="1"/>
          <w:sz w:val="32"/>
        </w:rPr>
        <w:t>：</w:t>
      </w:r>
    </w:p>
    <w:p>
      <w:pPr>
        <w:spacing w:before="277" w:after="0" w:line="361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b/>
          <w:bCs/>
          <w:color w:val="000000"/>
          <w:spacing w:val="1"/>
          <w:sz w:val="32"/>
        </w:rPr>
        <w:t>联 系 人</w:t>
      </w:r>
      <w:r>
        <w:rPr>
          <w:rFonts w:ascii="HLJCQC+FZFangSong-Z02" w:hAnsi="HLJCQC+FZFangSong-Z02" w:cs="HLJCQC+FZFangSong-Z02"/>
          <w:color w:val="000000"/>
          <w:spacing w:val="2"/>
          <w:sz w:val="32"/>
        </w:rPr>
        <w:t>：</w:t>
      </w:r>
    </w:p>
    <w:p>
      <w:pPr>
        <w:spacing w:before="279" w:after="0" w:line="361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b/>
          <w:bCs/>
          <w:color w:val="000000"/>
          <w:spacing w:val="1"/>
          <w:sz w:val="32"/>
        </w:rPr>
        <w:t>联系电话</w:t>
      </w:r>
      <w:r>
        <w:rPr>
          <w:rFonts w:ascii="HLJCQC+FZFangSong-Z02" w:hAnsi="HLJCQC+FZFangSong-Z02" w:cs="HLJCQC+FZFangSong-Z02"/>
          <w:color w:val="000000"/>
          <w:spacing w:val="1"/>
          <w:sz w:val="32"/>
        </w:rPr>
        <w:t>：</w:t>
      </w:r>
    </w:p>
    <w:p>
      <w:pPr>
        <w:spacing w:before="279" w:after="0" w:line="361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b/>
          <w:bCs/>
          <w:color w:val="000000"/>
          <w:spacing w:val="1"/>
          <w:sz w:val="32"/>
        </w:rPr>
        <w:t>电子邮件</w:t>
      </w:r>
      <w:r>
        <w:rPr>
          <w:rFonts w:ascii="HLJCQC+FZFangSong-Z02" w:hAnsi="HLJCQC+FZFangSong-Z02" w:cs="HLJCQC+FZFangSong-Z02"/>
          <w:color w:val="000000"/>
          <w:spacing w:val="1"/>
          <w:sz w:val="32"/>
        </w:rPr>
        <w:t>：</w:t>
      </w:r>
    </w:p>
    <w:p>
      <w:pPr>
        <w:spacing w:before="277" w:after="0" w:line="361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b/>
          <w:bCs/>
          <w:color w:val="000000"/>
          <w:spacing w:val="1"/>
          <w:sz w:val="32"/>
        </w:rPr>
        <w:t>填报时间</w:t>
      </w:r>
      <w:r>
        <w:rPr>
          <w:rFonts w:ascii="HLJCQC+FZFangSong-Z02" w:hAnsi="HLJCQC+FZFangSong-Z02" w:cs="HLJCQC+FZFangSong-Z02"/>
          <w:color w:val="000000"/>
          <w:spacing w:val="1"/>
          <w:sz w:val="32"/>
        </w:rPr>
        <w:t>：</w:t>
      </w:r>
    </w:p>
    <w:p>
      <w:pPr>
        <w:spacing w:before="1796" w:after="0" w:line="361" w:lineRule="exact"/>
        <w:ind w:left="1265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color w:val="000000"/>
          <w:spacing w:val="2"/>
          <w:sz w:val="32"/>
        </w:rPr>
        <w:t>内蒙古自治区教育厅科学技术与信息化处</w:t>
      </w:r>
    </w:p>
    <w:p>
      <w:pPr>
        <w:spacing w:before="239" w:after="0" w:line="361" w:lineRule="exact"/>
        <w:ind w:left="315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1"/>
          <w:sz w:val="32"/>
        </w:rPr>
        <w:t>2023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3"/>
          <w:sz w:val="32"/>
        </w:rPr>
        <w:t xml:space="preserve"> </w:t>
      </w:r>
      <w:r>
        <w:rPr>
          <w:rFonts w:ascii="WOBPCD+FZFangSong-Z02"/>
          <w:color w:val="000000"/>
          <w:spacing w:val="0"/>
          <w:sz w:val="32"/>
        </w:rPr>
        <w:t>5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HLJCQC+FZFangSong-Z02" w:hAnsi="HLJCQC+FZFangSong-Z02" w:cs="HLJCQC+FZFangSong-Z02"/>
          <w:color w:val="000000"/>
          <w:spacing w:val="2"/>
          <w:sz w:val="32"/>
        </w:rPr>
        <w:t>月制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bookmarkStart w:id="0" w:name="br6"/>
      <w:bookmarkEnd w:id="0"/>
      <w:r>
        <w:rPr>
          <w:rFonts w:ascii="WBSRAF+FZHei-B01" w:hAnsi="WBSRAF+FZHei-B01" w:cs="WBSRAF+FZHei-B01"/>
          <w:b/>
          <w:bCs/>
          <w:color w:val="000000"/>
          <w:spacing w:val="0"/>
          <w:sz w:val="32"/>
        </w:rPr>
        <w:t>一、摘要（</w:t>
      </w:r>
      <w:r>
        <w:rPr>
          <w:rFonts w:ascii="EOPHKN+FZHei-B01"/>
          <w:b/>
          <w:bCs/>
          <w:color w:val="000000"/>
          <w:spacing w:val="-18"/>
          <w:sz w:val="32"/>
        </w:rPr>
        <w:t>1500</w:t>
      </w:r>
      <w:r>
        <w:rPr>
          <w:rFonts w:ascii="Times New Roman"/>
          <w:b/>
          <w:bCs/>
          <w:color w:val="000000"/>
          <w:spacing w:val="2"/>
          <w:sz w:val="32"/>
        </w:rPr>
        <w:t xml:space="preserve"> </w:t>
      </w:r>
      <w:r>
        <w:rPr>
          <w:rFonts w:ascii="WBSRAF+FZHei-B01" w:hAnsi="WBSRAF+FZHei-B01" w:cs="WBSRAF+FZHei-B01"/>
          <w:b/>
          <w:bCs/>
          <w:color w:val="000000"/>
          <w:spacing w:val="0"/>
          <w:sz w:val="32"/>
        </w:rPr>
        <w:t>字左右）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WBSRAF+FZHei-B01" w:hAnsi="WBSRAF+FZHei-B01" w:cs="WBSRAF+FZHei-B01"/>
          <w:b/>
          <w:bCs/>
          <w:color w:val="000000"/>
          <w:spacing w:val="0"/>
          <w:sz w:val="32"/>
        </w:rPr>
      </w:pPr>
      <w:r>
        <w:rPr>
          <w:rFonts w:ascii="WBSRAF+FZHei-B01" w:hAnsi="WBSRAF+FZHei-B01" w:cs="WBSRAF+FZHei-B01"/>
          <w:b/>
          <w:bCs/>
          <w:color w:val="000000"/>
          <w:spacing w:val="0"/>
          <w:sz w:val="32"/>
        </w:rPr>
        <w:t>二、建设意义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0"/>
          <w:sz w:val="32"/>
        </w:rPr>
        <w:t>（一）该疾病领域国内现状及诊疗水平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0"/>
          <w:sz w:val="32"/>
        </w:rPr>
        <w:t>（二）该疾病领域的临床需求和重大研究问题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0"/>
          <w:sz w:val="32"/>
        </w:rPr>
        <w:t>（三）中心主要研究方向与研究内容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color w:val="000000"/>
          <w:spacing w:val="0"/>
          <w:sz w:val="32"/>
        </w:rPr>
        <w:t>（包括各方向的主要创新点，各方向间的相互关系）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WBSRAF+FZHei-B01" w:hAnsi="WBSRAF+FZHei-B01" w:cs="WBSRAF+FZHei-B01"/>
          <w:b/>
          <w:bCs/>
          <w:color w:val="000000"/>
          <w:spacing w:val="0"/>
          <w:sz w:val="32"/>
        </w:rPr>
      </w:pPr>
      <w:r>
        <w:rPr>
          <w:rFonts w:ascii="WBSRAF+FZHei-B01" w:hAnsi="WBSRAF+FZHei-B01" w:cs="WBSRAF+FZHei-B01"/>
          <w:b/>
          <w:bCs/>
          <w:color w:val="000000"/>
          <w:spacing w:val="0"/>
          <w:sz w:val="32"/>
        </w:rPr>
        <w:t>三、建设条件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636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-1"/>
          <w:sz w:val="32"/>
        </w:rPr>
        <w:t>（一）研究水平与学术地位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（近五年取得的标志性研究成果，在国内、国际上的学术地位和水平）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636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-1"/>
          <w:sz w:val="32"/>
        </w:rPr>
        <w:t>（二）人才队伍</w:t>
      </w:r>
      <w:r>
        <w:rPr>
          <w:rFonts w:ascii="HLJCQC+FZFangSong-Z02" w:hAnsi="HLJCQC+FZFangSong-Z02" w:cs="HLJCQC+FZFangSong-Z02"/>
          <w:color w:val="000000"/>
          <w:spacing w:val="-1"/>
          <w:sz w:val="32"/>
        </w:rPr>
        <w:t>（包括中心、各研究方向领军人才、骨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干和团队情况）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36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-1"/>
          <w:sz w:val="32"/>
        </w:rPr>
        <w:t>（三）医药创新能力</w:t>
      </w:r>
      <w:r>
        <w:rPr>
          <w:rFonts w:ascii="HLJCQC+FZFangSong-Z02" w:hAnsi="HLJCQC+FZFangSong-Z02" w:cs="HLJCQC+FZFangSong-Z02"/>
          <w:color w:val="000000"/>
          <w:spacing w:val="-1"/>
          <w:sz w:val="32"/>
        </w:rPr>
        <w:t>（包括高水平附属医院，应有或正</w:t>
      </w:r>
      <w:r>
        <w:rPr>
          <w:rFonts w:ascii="HLJCQC+FZFangSong-Z02" w:hAnsi="HLJCQC+FZFangSong-Z02" w:cs="HLJCQC+FZFangSong-Z02"/>
          <w:color w:val="000000"/>
          <w:spacing w:val="13"/>
          <w:sz w:val="32"/>
        </w:rPr>
        <w:t>在申请的国家级认证的药物非临床研究资质和药物临床试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验资质的医药技术合作平台，前期医药产品转化情况）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636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-1"/>
          <w:sz w:val="32"/>
        </w:rPr>
        <w:t>（四）实验平台基础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（包括重大科技基础设施，医药大数据库、标本库等）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632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bookmarkStart w:id="3" w:name="_GoBack"/>
      <w:bookmarkEnd w:id="3"/>
      <w:r>
        <w:rPr>
          <w:rFonts w:ascii="RBNVIL+FZKai-Z03" w:hAnsi="RBNVIL+FZKai-Z03" w:cs="RBNVIL+FZKai-Z03"/>
          <w:color w:val="000000"/>
          <w:spacing w:val="-2"/>
          <w:sz w:val="32"/>
        </w:rPr>
        <w:t>（五）管理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（包括医药产学研融通机制，医药成果转化</w:t>
      </w:r>
      <w:r>
        <w:rPr>
          <w:rFonts w:ascii="HLJCQC+FZFangSong-Z02" w:hAnsi="HLJCQC+FZFangSong-Z02" w:cs="HLJCQC+FZFangSong-Z02"/>
          <w:color w:val="000000"/>
          <w:spacing w:val="-1"/>
          <w:sz w:val="32"/>
        </w:rPr>
        <w:t>渠道，生物安全管理、人类遗传资源管理制度、医学伦理和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动物伦理审查体系等）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WBSRAF+FZHei-B01" w:hAnsi="WBSRAF+FZHei-B01" w:cs="WBSRAF+FZHei-B01"/>
          <w:b/>
          <w:bCs/>
          <w:color w:val="000000"/>
          <w:spacing w:val="0"/>
          <w:sz w:val="32"/>
        </w:rPr>
      </w:pPr>
      <w:r>
        <w:rPr>
          <w:rFonts w:ascii="WBSRAF+FZHei-B01" w:hAnsi="WBSRAF+FZHei-B01" w:cs="WBSRAF+FZHei-B01"/>
          <w:b/>
          <w:bCs/>
          <w:color w:val="000000"/>
          <w:spacing w:val="0"/>
          <w:sz w:val="32"/>
        </w:rPr>
        <w:t>四、建设规划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ascii="Arial"/>
          <w:color w:val="FF0000"/>
          <w:spacing w:val="0"/>
          <w:sz w:val="2"/>
        </w:rPr>
      </w:pPr>
      <w:r>
        <w:rPr>
          <w:rFonts w:ascii="RBNVIL+FZKai-Z03" w:hAnsi="RBNVIL+FZKai-Z03" w:cs="RBNVIL+FZKai-Z03"/>
          <w:color w:val="000000"/>
          <w:spacing w:val="0"/>
          <w:sz w:val="32"/>
        </w:rPr>
        <w:t>（一）中心定位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sectPr>
          <w:pgSz w:w="11900" w:h="16840"/>
          <w:pgMar w:top="1668" w:right="1740" w:bottom="0" w:left="1800" w:header="720" w:footer="720" w:gutter="0"/>
          <w:pgNumType w:start="1"/>
          <w:cols w:space="720" w:num="1"/>
          <w:docGrid w:linePitch="1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ascii="Arial"/>
          <w:color w:val="FF0000"/>
          <w:spacing w:val="0"/>
          <w:sz w:val="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bookmarkStart w:id="1" w:name="br7"/>
      <w:bookmarkEnd w:id="1"/>
      <w:r>
        <w:rPr>
          <w:rFonts w:ascii="WOBPCD+FZFangSong-Z02"/>
          <w:color w:val="000000"/>
          <w:spacing w:val="0"/>
          <w:sz w:val="32"/>
        </w:rPr>
        <w:t>1.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未来五年的发展目标和预期成果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2.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未来十年发展目标和发展前景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0"/>
          <w:sz w:val="32"/>
        </w:rPr>
        <w:t>（二）近五年研究计划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1.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主要科学问题和前沿技术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2.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主要研究方向和任务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0"/>
          <w:sz w:val="32"/>
        </w:rPr>
        <w:t>（三）建设内容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1.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空间与环境（目前布局和未来建设规划）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HLJCQC+FZFangSong-Z02" w:hAnsi="HLJCQC+FZFangSong-Z02" w:cs="HLJCQC+FZFangSong-Z02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2.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医药科研基础设施建设（包括建设期内拟新增和研制的重大仪器设备、重大科技基础设施，高水平实验和工程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技术队伍建设等）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3.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医药研究团队建设（未来人才引进的规划）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32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-2"/>
          <w:sz w:val="32"/>
        </w:rPr>
        <w:t>4.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医药研究组织模式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36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-1"/>
          <w:sz w:val="32"/>
        </w:rPr>
        <w:t>5.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医药人才创新培养机制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36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-1"/>
          <w:sz w:val="32"/>
        </w:rPr>
        <w:t>6.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资金投入安排（稳定支持的中心运行经费，基础建设投入，仪器设备投入等）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0"/>
          <w:sz w:val="32"/>
        </w:rPr>
        <w:t>（四）政策支持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1.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人事聘用管理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2.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评价考核激励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40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3.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创新文化建设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32" w:firstLineChars="20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-2"/>
          <w:sz w:val="32"/>
        </w:rPr>
        <w:t>4.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开放合作创新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636" w:firstLineChars="200"/>
        <w:jc w:val="left"/>
        <w:textAlignment w:val="auto"/>
        <w:rPr>
          <w:rFonts w:ascii="Arial"/>
          <w:color w:val="FF0000"/>
          <w:spacing w:val="0"/>
          <w:sz w:val="2"/>
        </w:rPr>
      </w:pPr>
      <w:r>
        <w:rPr>
          <w:rFonts w:ascii="WOBPCD+FZFangSong-Z02"/>
          <w:color w:val="000000"/>
          <w:spacing w:val="-1"/>
          <w:sz w:val="32"/>
        </w:rPr>
        <w:t>5.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其他方面的政策</w: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ascii="Times New Roman"/>
          <w:color w:val="000000"/>
          <w:spacing w:val="0"/>
          <w:sz w:val="32"/>
        </w:rPr>
      </w:pPr>
      <w:bookmarkStart w:id="2" w:name="br8"/>
      <w:bookmarkEnd w:id="2"/>
      <w:r>
        <w:rPr>
          <w:rFonts w:ascii="RBNVIL+FZKai-Z03" w:hAnsi="RBNVIL+FZKai-Z03" w:cs="RBNVIL+FZKai-Z03"/>
          <w:color w:val="000000"/>
          <w:spacing w:val="0"/>
          <w:sz w:val="32"/>
        </w:rPr>
        <w:t>（五）组织架构与运行管理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1.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2.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中心内部组织架构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WOBPCD+FZFangSong-Z02"/>
          <w:color w:val="000000"/>
          <w:spacing w:val="0"/>
          <w:sz w:val="32"/>
        </w:rPr>
        <w:t>3.</w:t>
      </w:r>
      <w:r>
        <w:rPr>
          <w:rFonts w:ascii="HLJCQC+FZFangSong-Z02" w:hAnsi="HLJCQC+FZFangSong-Z02" w:cs="HLJCQC+FZFangSong-Z02"/>
          <w:color w:val="000000"/>
          <w:spacing w:val="0"/>
          <w:sz w:val="32"/>
        </w:rPr>
        <w:t>运行管理机制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RBNVIL+FZKai-Z03" w:hAnsi="RBNVIL+FZKai-Z03" w:cs="RBNVIL+FZKai-Z03"/>
          <w:color w:val="000000"/>
          <w:spacing w:val="0"/>
          <w:sz w:val="32"/>
        </w:rPr>
        <w:t>（六）建设进度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color w:val="000000"/>
          <w:spacing w:val="0"/>
          <w:sz w:val="32"/>
        </w:rPr>
        <w:t>按照四年分年度落实安排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ascii="WBSRAF+FZHei-B01" w:hAnsi="WBSRAF+FZHei-B01" w:cs="WBSRAF+FZHei-B01"/>
          <w:b/>
          <w:bCs/>
          <w:color w:val="000000"/>
          <w:spacing w:val="0"/>
          <w:sz w:val="32"/>
        </w:rPr>
      </w:pPr>
      <w:r>
        <w:rPr>
          <w:rFonts w:ascii="WBSRAF+FZHei-B01" w:hAnsi="WBSRAF+FZHei-B01" w:cs="WBSRAF+FZHei-B01"/>
          <w:b/>
          <w:bCs/>
          <w:color w:val="000000"/>
          <w:spacing w:val="0"/>
          <w:sz w:val="32"/>
        </w:rPr>
        <w:t>五、依托单位意见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WBSRAF+FZHei-B01" w:hAnsi="WBSRAF+FZHei-B01" w:cs="WBSRAF+FZHei-B01"/>
          <w:b/>
          <w:bCs/>
          <w:color w:val="000000"/>
          <w:spacing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WBSRAF+FZHei-B01" w:hAnsi="WBSRAF+FZHei-B01" w:cs="WBSRAF+FZHei-B01"/>
          <w:b/>
          <w:bCs/>
          <w:color w:val="000000"/>
          <w:spacing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ascii="WBSRAF+FZHei-B01" w:hAnsi="WBSRAF+FZHei-B01" w:cs="WBSRAF+FZHei-B01"/>
          <w:b/>
          <w:bCs/>
          <w:color w:val="000000"/>
          <w:spacing w:val="0"/>
          <w:sz w:val="32"/>
        </w:rPr>
      </w:pPr>
      <w:r>
        <w:rPr>
          <w:rFonts w:ascii="WBSRAF+FZHei-B01" w:hAnsi="WBSRAF+FZHei-B01" w:cs="WBSRAF+FZHei-B01"/>
          <w:b/>
          <w:bCs/>
          <w:color w:val="000000"/>
          <w:spacing w:val="0"/>
          <w:sz w:val="32"/>
        </w:rPr>
        <w:t>六、附件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641" w:right="0" w:firstLine="0"/>
        <w:jc w:val="left"/>
        <w:textAlignment w:val="auto"/>
        <w:rPr>
          <w:rFonts w:ascii="Times New Roman"/>
          <w:color w:val="000000"/>
          <w:spacing w:val="0"/>
          <w:sz w:val="32"/>
        </w:rPr>
      </w:pPr>
      <w:r>
        <w:rPr>
          <w:rFonts w:ascii="HLJCQC+FZFangSong-Z02" w:hAnsi="HLJCQC+FZFangSong-Z02" w:cs="HLJCQC+FZFangSong-Z02"/>
          <w:color w:val="000000"/>
          <w:spacing w:val="0"/>
          <w:sz w:val="32"/>
        </w:rPr>
        <w:t>相关证明材料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huSong-Z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ai-Z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SRAF+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EOPHKN+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LJCQC+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OBPCD+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CNOT+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RBNVIL+FZKai-Z03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YjY0YjQwMzU5YWY4MjUyZDkyNDFlY2Q4MzU2YzUifQ=="/>
  </w:docVars>
  <w:rsids>
    <w:rsidRoot w:val="085E33CE"/>
    <w:rsid w:val="085E33CE"/>
    <w:rsid w:val="4E8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name="No Lis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4">
    <w:name w:val="No List"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785</Words>
  <Characters>809</Characters>
  <Lines>0</Lines>
  <Paragraphs>0</Paragraphs>
  <TotalTime>10</TotalTime>
  <ScaleCrop>false</ScaleCrop>
  <LinksUpToDate>false</LinksUpToDate>
  <CharactersWithSpaces>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2023-05-15T01:17:00Z</dcterms:created>
  <dc:creator>新</dc:creator>
  <cp:lastModifiedBy>新</cp:lastModifiedBy>
  <dcterms:modified xsi:type="dcterms:W3CDTF">2023-05-15T02:09:40Z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CAB3801DDC994BA68B4AB51BD38E077B_11</vt:lpwstr>
  </property>
</Properties>
</file>